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Grigliatabella"/>
        <w:tblW w:w="0" w:type="auto"/>
        <w:tblInd w:w="5" w:type="dxa"/>
        <w:tblLayout w:type="fixed"/>
        <w:tblLook w:val="04A0" w:firstRow="1" w:lastRow="0" w:firstColumn="1" w:lastColumn="0" w:noHBand="0" w:noVBand="1"/>
      </w:tblPr>
      <w:tblGrid>
        <w:gridCol w:w="567"/>
        <w:gridCol w:w="2835"/>
        <w:gridCol w:w="6237"/>
      </w:tblGrid>
      <w:tr w:rsidR="00EB028C" w:rsidTr="00724739">
        <w:trPr>
          <w:trHeight w:val="253"/>
        </w:trPr>
        <w:tc>
          <w:tcPr>
            <w:tcW w:w="567" w:type="dxa"/>
            <w:tcBorders>
              <w:top w:val="nil"/>
              <w:left w:val="nil"/>
              <w:bottom w:val="nil"/>
              <w:right w:val="nil"/>
            </w:tcBorders>
          </w:tcPr>
          <w:p w:rsidR="00EB028C" w:rsidRDefault="00EB028C" w:rsidP="00724739">
            <w:pPr>
              <w:spacing w:line="0" w:lineRule="atLeast"/>
              <w:rPr>
                <w:rFonts w:ascii="Times New Roman" w:eastAsia="Times New Roman" w:hAnsi="Times New Roman"/>
                <w:sz w:val="21"/>
              </w:rPr>
            </w:pPr>
          </w:p>
        </w:tc>
        <w:tc>
          <w:tcPr>
            <w:tcW w:w="2835" w:type="dxa"/>
            <w:tcBorders>
              <w:top w:val="nil"/>
              <w:left w:val="nil"/>
              <w:bottom w:val="nil"/>
              <w:right w:val="nil"/>
            </w:tcBorders>
          </w:tcPr>
          <w:p w:rsidR="00EB028C" w:rsidRDefault="00EB028C" w:rsidP="00724739">
            <w:pPr>
              <w:spacing w:line="0" w:lineRule="atLeast"/>
              <w:rPr>
                <w:rFonts w:ascii="Times New Roman" w:eastAsia="Times New Roman" w:hAnsi="Times New Roman"/>
                <w:sz w:val="21"/>
              </w:rPr>
            </w:pPr>
          </w:p>
        </w:tc>
        <w:tc>
          <w:tcPr>
            <w:tcW w:w="6237" w:type="dxa"/>
            <w:tcBorders>
              <w:top w:val="nil"/>
              <w:left w:val="nil"/>
              <w:bottom w:val="nil"/>
              <w:right w:val="nil"/>
            </w:tcBorders>
          </w:tcPr>
          <w:p w:rsidR="00EB028C" w:rsidRPr="00214691" w:rsidRDefault="00EB028C" w:rsidP="007345FD">
            <w:pPr>
              <w:pStyle w:val="Titolo1"/>
              <w:outlineLvl w:val="0"/>
              <w:rPr>
                <w:rFonts w:eastAsia="Arial"/>
              </w:rPr>
            </w:pPr>
            <w:r w:rsidRPr="005B0ADA">
              <w:rPr>
                <w:rFonts w:eastAsia="Arial"/>
                <w:sz w:val="24"/>
                <w:szCs w:val="24"/>
              </w:rPr>
              <w:t xml:space="preserve">Scheda </w:t>
            </w:r>
            <w:r>
              <w:rPr>
                <w:rFonts w:eastAsia="Arial"/>
                <w:sz w:val="24"/>
                <w:szCs w:val="24"/>
              </w:rPr>
              <w:t>bando</w:t>
            </w:r>
            <w:r w:rsidRPr="00214691">
              <w:rPr>
                <w:rFonts w:eastAsia="Arial"/>
              </w:rPr>
              <w:t xml:space="preserve"> </w:t>
            </w:r>
            <w:r w:rsidR="007345FD" w:rsidRPr="007345FD">
              <w:rPr>
                <w:rFonts w:eastAsia="Arial"/>
                <w:sz w:val="24"/>
                <w:szCs w:val="24"/>
              </w:rPr>
              <w:t>SL</w:t>
            </w:r>
            <w:r w:rsidR="00A212E8">
              <w:rPr>
                <w:rFonts w:eastAsia="Arial"/>
                <w:sz w:val="24"/>
                <w:szCs w:val="24"/>
              </w:rPr>
              <w:t>.</w:t>
            </w:r>
            <w:r w:rsidR="007345FD" w:rsidRPr="007345FD">
              <w:rPr>
                <w:rFonts w:eastAsia="Arial"/>
                <w:sz w:val="24"/>
                <w:szCs w:val="24"/>
              </w:rPr>
              <w:t>1.1</w:t>
            </w:r>
          </w:p>
        </w:tc>
      </w:tr>
      <w:tr w:rsidR="00EB028C" w:rsidTr="00724739">
        <w:trPr>
          <w:trHeight w:val="357"/>
        </w:trPr>
        <w:tc>
          <w:tcPr>
            <w:tcW w:w="567" w:type="dxa"/>
            <w:tcBorders>
              <w:top w:val="nil"/>
              <w:left w:val="nil"/>
              <w:bottom w:val="single" w:sz="4" w:space="0" w:color="auto"/>
              <w:right w:val="nil"/>
            </w:tcBorders>
          </w:tcPr>
          <w:p w:rsidR="00EB028C" w:rsidRDefault="00EB028C" w:rsidP="00724739">
            <w:pPr>
              <w:spacing w:line="0" w:lineRule="atLeast"/>
              <w:rPr>
                <w:rFonts w:ascii="Times New Roman" w:eastAsia="Times New Roman" w:hAnsi="Times New Roman"/>
                <w:sz w:val="24"/>
              </w:rPr>
            </w:pPr>
          </w:p>
        </w:tc>
        <w:tc>
          <w:tcPr>
            <w:tcW w:w="2835" w:type="dxa"/>
            <w:tcBorders>
              <w:top w:val="nil"/>
              <w:left w:val="nil"/>
              <w:bottom w:val="single" w:sz="4" w:space="0" w:color="auto"/>
              <w:right w:val="nil"/>
            </w:tcBorders>
          </w:tcPr>
          <w:p w:rsidR="00EB028C" w:rsidRDefault="00EB028C" w:rsidP="00724739">
            <w:pPr>
              <w:spacing w:line="0" w:lineRule="atLeast"/>
              <w:rPr>
                <w:rFonts w:ascii="Times New Roman" w:eastAsia="Times New Roman" w:hAnsi="Times New Roman"/>
                <w:sz w:val="24"/>
              </w:rPr>
            </w:pPr>
          </w:p>
        </w:tc>
        <w:tc>
          <w:tcPr>
            <w:tcW w:w="6237" w:type="dxa"/>
            <w:tcBorders>
              <w:top w:val="nil"/>
              <w:left w:val="nil"/>
              <w:bottom w:val="single" w:sz="4" w:space="0" w:color="auto"/>
              <w:right w:val="nil"/>
            </w:tcBorders>
          </w:tcPr>
          <w:p w:rsidR="00EB028C" w:rsidRDefault="00EB028C" w:rsidP="00724739">
            <w:pPr>
              <w:spacing w:line="0" w:lineRule="atLeast"/>
              <w:rPr>
                <w:rFonts w:ascii="Times New Roman" w:eastAsia="Times New Roman" w:hAnsi="Times New Roman"/>
                <w:sz w:val="24"/>
              </w:rPr>
            </w:pPr>
          </w:p>
        </w:tc>
      </w:tr>
      <w:tr w:rsidR="00EB028C" w:rsidTr="00724739">
        <w:tc>
          <w:tcPr>
            <w:tcW w:w="567" w:type="dxa"/>
            <w:tcBorders>
              <w:top w:val="single" w:sz="4" w:space="0" w:color="auto"/>
            </w:tcBorders>
          </w:tcPr>
          <w:p w:rsidR="00EB028C" w:rsidRPr="0027769D" w:rsidRDefault="00EB028C" w:rsidP="00724739">
            <w:pPr>
              <w:spacing w:line="232" w:lineRule="auto"/>
              <w:ind w:left="113" w:right="113"/>
              <w:rPr>
                <w:rFonts w:ascii="Arial" w:eastAsia="Arial" w:hAnsi="Arial"/>
                <w:b/>
                <w:sz w:val="16"/>
              </w:rPr>
            </w:pPr>
            <w:r w:rsidRPr="0027769D">
              <w:rPr>
                <w:rFonts w:ascii="Arial" w:eastAsia="Arial" w:hAnsi="Arial"/>
                <w:b/>
                <w:sz w:val="16"/>
              </w:rPr>
              <w:t>1</w:t>
            </w:r>
          </w:p>
        </w:tc>
        <w:tc>
          <w:tcPr>
            <w:tcW w:w="2835" w:type="dxa"/>
            <w:tcBorders>
              <w:top w:val="single" w:sz="4" w:space="0" w:color="auto"/>
            </w:tcBorders>
          </w:tcPr>
          <w:p w:rsidR="00EB028C" w:rsidRDefault="00EB028C" w:rsidP="00724739">
            <w:pPr>
              <w:spacing w:line="232" w:lineRule="auto"/>
              <w:ind w:left="113" w:right="113"/>
              <w:rPr>
                <w:rFonts w:ascii="Arial" w:eastAsia="Arial" w:hAnsi="Arial"/>
                <w:b/>
                <w:sz w:val="22"/>
              </w:rPr>
            </w:pPr>
            <w:r>
              <w:rPr>
                <w:rFonts w:ascii="Arial" w:eastAsia="Arial" w:hAnsi="Arial"/>
                <w:b/>
                <w:sz w:val="16"/>
              </w:rPr>
              <w:t>Codice intervento e Titolo</w:t>
            </w:r>
          </w:p>
        </w:tc>
        <w:tc>
          <w:tcPr>
            <w:tcW w:w="6237" w:type="dxa"/>
            <w:tcBorders>
              <w:top w:val="single" w:sz="4" w:space="0" w:color="auto"/>
            </w:tcBorders>
          </w:tcPr>
          <w:p w:rsidR="00EB028C" w:rsidRPr="007345FD" w:rsidRDefault="007345FD" w:rsidP="007345FD">
            <w:pPr>
              <w:spacing w:line="232" w:lineRule="auto"/>
              <w:ind w:left="113" w:right="113"/>
              <w:jc w:val="both"/>
              <w:rPr>
                <w:rFonts w:ascii="Arial" w:eastAsia="Arial" w:hAnsi="Arial"/>
                <w:b/>
                <w:sz w:val="22"/>
              </w:rPr>
            </w:pPr>
            <w:r>
              <w:rPr>
                <w:rFonts w:ascii="Arial" w:hAnsi="Arial"/>
                <w:b/>
                <w:color w:val="000000"/>
                <w:sz w:val="16"/>
                <w:szCs w:val="16"/>
              </w:rPr>
              <w:t>SL</w:t>
            </w:r>
            <w:r w:rsidR="00A212E8">
              <w:rPr>
                <w:rFonts w:ascii="Arial" w:hAnsi="Arial"/>
                <w:b/>
                <w:color w:val="000000"/>
                <w:sz w:val="16"/>
                <w:szCs w:val="16"/>
              </w:rPr>
              <w:t>.</w:t>
            </w:r>
            <w:r>
              <w:rPr>
                <w:rFonts w:ascii="Arial" w:hAnsi="Arial"/>
                <w:b/>
                <w:color w:val="000000"/>
                <w:sz w:val="16"/>
                <w:szCs w:val="16"/>
              </w:rPr>
              <w:t xml:space="preserve">1.1 </w:t>
            </w:r>
            <w:r w:rsidRPr="007345FD">
              <w:rPr>
                <w:rFonts w:ascii="Arial" w:hAnsi="Arial"/>
                <w:b/>
                <w:color w:val="000000"/>
                <w:sz w:val="16"/>
                <w:szCs w:val="16"/>
              </w:rPr>
              <w:t>Connessione agli Itinerari regionali per una rete di mobilità dolce e piccole infrastrutture per l’accoglienza turistica slow</w:t>
            </w:r>
          </w:p>
        </w:tc>
      </w:tr>
      <w:tr w:rsidR="00EB028C" w:rsidTr="00724739">
        <w:tc>
          <w:tcPr>
            <w:tcW w:w="567" w:type="dxa"/>
          </w:tcPr>
          <w:p w:rsidR="00EB028C" w:rsidRPr="0027769D" w:rsidRDefault="00EB028C" w:rsidP="00724739">
            <w:pPr>
              <w:spacing w:line="232" w:lineRule="auto"/>
              <w:ind w:left="113" w:right="113"/>
              <w:rPr>
                <w:rFonts w:ascii="Arial" w:eastAsia="Arial" w:hAnsi="Arial"/>
                <w:b/>
                <w:sz w:val="16"/>
              </w:rPr>
            </w:pPr>
            <w:r w:rsidRPr="0027769D">
              <w:rPr>
                <w:rFonts w:ascii="Arial" w:eastAsia="Arial" w:hAnsi="Arial"/>
                <w:b/>
                <w:sz w:val="16"/>
              </w:rPr>
              <w:t>2</w:t>
            </w:r>
          </w:p>
        </w:tc>
        <w:tc>
          <w:tcPr>
            <w:tcW w:w="2835" w:type="dxa"/>
          </w:tcPr>
          <w:p w:rsidR="00EB028C" w:rsidRDefault="00EB028C" w:rsidP="00724739">
            <w:pPr>
              <w:spacing w:line="232" w:lineRule="auto"/>
              <w:ind w:left="113" w:right="113"/>
              <w:rPr>
                <w:rFonts w:ascii="Arial" w:eastAsia="Arial" w:hAnsi="Arial"/>
                <w:b/>
                <w:sz w:val="22"/>
              </w:rPr>
            </w:pPr>
            <w:r>
              <w:rPr>
                <w:rFonts w:ascii="Arial" w:eastAsia="Arial" w:hAnsi="Arial"/>
                <w:b/>
                <w:sz w:val="16"/>
              </w:rPr>
              <w:t>Obiettivo</w:t>
            </w:r>
          </w:p>
        </w:tc>
        <w:tc>
          <w:tcPr>
            <w:tcW w:w="6237" w:type="dxa"/>
          </w:tcPr>
          <w:tbl>
            <w:tblPr>
              <w:tblW w:w="0" w:type="auto"/>
              <w:tblBorders>
                <w:top w:val="nil"/>
                <w:left w:val="nil"/>
                <w:bottom w:val="nil"/>
                <w:right w:val="nil"/>
              </w:tblBorders>
              <w:tblLayout w:type="fixed"/>
              <w:tblLook w:val="0000" w:firstRow="0" w:lastRow="0" w:firstColumn="0" w:lastColumn="0" w:noHBand="0" w:noVBand="0"/>
            </w:tblPr>
            <w:tblGrid>
              <w:gridCol w:w="6155"/>
            </w:tblGrid>
            <w:tr w:rsidR="00770055" w:rsidRPr="00770055" w:rsidTr="00002EDF">
              <w:trPr>
                <w:trHeight w:val="2277"/>
              </w:trPr>
              <w:tc>
                <w:tcPr>
                  <w:tcW w:w="6155" w:type="dxa"/>
                </w:tcPr>
                <w:p w:rsidR="00002EDF" w:rsidRDefault="00770055" w:rsidP="00002EDF">
                  <w:pPr>
                    <w:autoSpaceDE w:val="0"/>
                    <w:autoSpaceDN w:val="0"/>
                    <w:adjustRightInd w:val="0"/>
                    <w:jc w:val="both"/>
                    <w:rPr>
                      <w:rFonts w:ascii="Arial" w:hAnsi="Arial"/>
                      <w:color w:val="000000"/>
                      <w:sz w:val="16"/>
                      <w:szCs w:val="16"/>
                    </w:rPr>
                  </w:pPr>
                  <w:r w:rsidRPr="00002EDF">
                    <w:rPr>
                      <w:rFonts w:ascii="Arial" w:hAnsi="Arial"/>
                      <w:color w:val="000000"/>
                      <w:sz w:val="16"/>
                      <w:szCs w:val="16"/>
                    </w:rPr>
                    <w:t>La finalità dell’intervento è quella di contribuire alla</w:t>
                  </w:r>
                  <w:r w:rsidRPr="00770055">
                    <w:rPr>
                      <w:rFonts w:ascii="Arial" w:hAnsi="Arial"/>
                      <w:color w:val="000000"/>
                      <w:sz w:val="16"/>
                      <w:szCs w:val="16"/>
                    </w:rPr>
                    <w:t xml:space="preserve"> “Creazione di un prodotto turistico della </w:t>
                  </w:r>
                  <w:proofErr w:type="spellStart"/>
                  <w:r w:rsidRPr="00770055">
                    <w:rPr>
                      <w:rFonts w:ascii="Arial" w:hAnsi="Arial"/>
                      <w:color w:val="000000"/>
                      <w:sz w:val="16"/>
                      <w:szCs w:val="16"/>
                    </w:rPr>
                    <w:t>Valnerina</w:t>
                  </w:r>
                  <w:proofErr w:type="spellEnd"/>
                  <w:r w:rsidR="00002EDF">
                    <w:rPr>
                      <w:rFonts w:ascii="Arial" w:hAnsi="Arial"/>
                      <w:color w:val="000000"/>
                      <w:sz w:val="16"/>
                      <w:szCs w:val="16"/>
                    </w:rPr>
                    <w:t>”</w:t>
                  </w:r>
                  <w:r w:rsidRPr="00770055">
                    <w:rPr>
                      <w:rFonts w:ascii="Arial" w:hAnsi="Arial"/>
                      <w:color w:val="000000"/>
                      <w:sz w:val="16"/>
                      <w:szCs w:val="16"/>
                    </w:rPr>
                    <w:t xml:space="preserve"> basato sul sistema della mobilità dolce e del turismo culturale, religioso, </w:t>
                  </w:r>
                  <w:r w:rsidR="00002EDF">
                    <w:rPr>
                      <w:rFonts w:ascii="Arial" w:hAnsi="Arial"/>
                      <w:color w:val="000000"/>
                      <w:sz w:val="16"/>
                      <w:szCs w:val="16"/>
                    </w:rPr>
                    <w:t xml:space="preserve">enogastronomico e naturalistico. </w:t>
                  </w:r>
                </w:p>
                <w:p w:rsidR="00770055" w:rsidRPr="00770055" w:rsidRDefault="00770055" w:rsidP="00002EDF">
                  <w:pPr>
                    <w:autoSpaceDE w:val="0"/>
                    <w:autoSpaceDN w:val="0"/>
                    <w:adjustRightInd w:val="0"/>
                    <w:jc w:val="both"/>
                    <w:rPr>
                      <w:rFonts w:ascii="Arial" w:hAnsi="Arial"/>
                      <w:color w:val="000000"/>
                      <w:sz w:val="16"/>
                      <w:szCs w:val="16"/>
                    </w:rPr>
                  </w:pPr>
                  <w:r w:rsidRPr="00770055">
                    <w:rPr>
                      <w:rFonts w:ascii="Arial" w:hAnsi="Arial"/>
                      <w:color w:val="000000"/>
                      <w:sz w:val="16"/>
                      <w:szCs w:val="16"/>
                    </w:rPr>
                    <w:t>In particolare</w:t>
                  </w:r>
                  <w:r w:rsidR="00B64753">
                    <w:rPr>
                      <w:rFonts w:ascii="Arial" w:hAnsi="Arial"/>
                      <w:color w:val="000000"/>
                      <w:sz w:val="16"/>
                      <w:szCs w:val="16"/>
                    </w:rPr>
                    <w:t xml:space="preserve"> </w:t>
                  </w:r>
                  <w:r w:rsidRPr="00770055">
                    <w:rPr>
                      <w:rFonts w:ascii="Arial" w:hAnsi="Arial"/>
                      <w:color w:val="000000"/>
                      <w:sz w:val="16"/>
                      <w:szCs w:val="16"/>
                    </w:rPr>
                    <w:t>si rende necessario intercettare e ricucire la sentieristica esistente e</w:t>
                  </w:r>
                  <w:r w:rsidR="00002EDF">
                    <w:rPr>
                      <w:rFonts w:ascii="Arial" w:hAnsi="Arial"/>
                      <w:color w:val="000000"/>
                      <w:sz w:val="16"/>
                      <w:szCs w:val="16"/>
                    </w:rPr>
                    <w:t xml:space="preserve"> quella in via di realizzazione</w:t>
                  </w:r>
                  <w:r w:rsidRPr="00770055">
                    <w:rPr>
                      <w:rFonts w:ascii="Arial" w:hAnsi="Arial"/>
                      <w:color w:val="000000"/>
                      <w:sz w:val="16"/>
                      <w:szCs w:val="16"/>
                    </w:rPr>
                    <w:t xml:space="preserve"> con gli ambiti di territorio che rimangono esclusi da tali percorrenze</w:t>
                  </w:r>
                  <w:r w:rsidR="00B64753">
                    <w:rPr>
                      <w:rFonts w:ascii="Arial" w:hAnsi="Arial"/>
                      <w:color w:val="000000"/>
                      <w:sz w:val="16"/>
                      <w:szCs w:val="16"/>
                    </w:rPr>
                    <w:t xml:space="preserve"> in connessione ai grandi itinerari regionali</w:t>
                  </w:r>
                  <w:r w:rsidR="00B64753" w:rsidRPr="00770055">
                    <w:rPr>
                      <w:rFonts w:ascii="Arial" w:hAnsi="Arial"/>
                      <w:color w:val="000000"/>
                      <w:sz w:val="16"/>
                      <w:szCs w:val="16"/>
                    </w:rPr>
                    <w:t xml:space="preserve"> </w:t>
                  </w:r>
                  <w:r w:rsidR="00B64753" w:rsidRPr="00770055">
                    <w:rPr>
                      <w:rFonts w:ascii="Arial" w:hAnsi="Arial"/>
                      <w:color w:val="000000" w:themeColor="text1"/>
                      <w:sz w:val="16"/>
                      <w:szCs w:val="16"/>
                    </w:rPr>
                    <w:t>(</w:t>
                  </w:r>
                  <w:r w:rsidR="00A15422">
                    <w:rPr>
                      <w:rFonts w:ascii="Arial" w:hAnsi="Arial"/>
                      <w:color w:val="000000" w:themeColor="text1"/>
                      <w:sz w:val="16"/>
                      <w:szCs w:val="16"/>
                    </w:rPr>
                    <w:t xml:space="preserve">a titolo esemplificativo: </w:t>
                  </w:r>
                  <w:r w:rsidR="00B64753" w:rsidRPr="00770055">
                    <w:rPr>
                      <w:rFonts w:ascii="Arial" w:hAnsi="Arial"/>
                      <w:color w:val="000000" w:themeColor="text1"/>
                      <w:sz w:val="16"/>
                      <w:szCs w:val="16"/>
                    </w:rPr>
                    <w:t>Ex Ferrovia Spoleto-Norcia, Green way del Nera, l’itinerario Benedettino, la Via di Francesco, La via de</w:t>
                  </w:r>
                  <w:r w:rsidR="00B64753">
                    <w:rPr>
                      <w:rFonts w:ascii="Arial" w:hAnsi="Arial"/>
                      <w:color w:val="000000" w:themeColor="text1"/>
                      <w:sz w:val="16"/>
                      <w:szCs w:val="16"/>
                    </w:rPr>
                    <w:t>l Ferro, il Sentiero di Pio IX)</w:t>
                  </w:r>
                  <w:r w:rsidRPr="00770055">
                    <w:rPr>
                      <w:rFonts w:ascii="Arial" w:hAnsi="Arial"/>
                      <w:color w:val="000000"/>
                      <w:sz w:val="16"/>
                      <w:szCs w:val="16"/>
                    </w:rPr>
                    <w:t>. Il progetto intende intervenire su elementi di discontinuità della rete, attraverso adeguamenti di tracciati esistenti, realizzazione di elementi di connessione (passerelle pedonali, brevi tracciati di collegamento, opere d’arte per il superamento di discontinuità), nonché la realizzazione di una segnaletica idonea a tracciare e comunicare la rete delle percorrenze anche in relazione a connessioni</w:t>
                  </w:r>
                  <w:r w:rsidR="00002EDF">
                    <w:rPr>
                      <w:rFonts w:ascii="Arial" w:hAnsi="Arial"/>
                      <w:color w:val="000000"/>
                      <w:sz w:val="16"/>
                      <w:szCs w:val="16"/>
                    </w:rPr>
                    <w:t xml:space="preserve"> ai grandi itinerari regionali</w:t>
                  </w:r>
                  <w:r w:rsidRPr="00770055">
                    <w:rPr>
                      <w:rFonts w:ascii="Arial" w:hAnsi="Arial"/>
                      <w:color w:val="000000"/>
                      <w:sz w:val="16"/>
                      <w:szCs w:val="16"/>
                    </w:rPr>
                    <w:t xml:space="preserve"> </w:t>
                  </w:r>
                  <w:r w:rsidR="00002EDF" w:rsidRPr="00770055">
                    <w:rPr>
                      <w:rFonts w:ascii="Arial" w:hAnsi="Arial"/>
                      <w:color w:val="000000" w:themeColor="text1"/>
                      <w:sz w:val="16"/>
                      <w:szCs w:val="16"/>
                    </w:rPr>
                    <w:t>(</w:t>
                  </w:r>
                  <w:r w:rsidR="00A15422">
                    <w:rPr>
                      <w:rFonts w:ascii="Arial" w:hAnsi="Arial"/>
                      <w:color w:val="000000" w:themeColor="text1"/>
                      <w:sz w:val="16"/>
                      <w:szCs w:val="16"/>
                    </w:rPr>
                    <w:t xml:space="preserve">a titolo esemplificativo: </w:t>
                  </w:r>
                  <w:r w:rsidR="00002EDF" w:rsidRPr="00770055">
                    <w:rPr>
                      <w:rFonts w:ascii="Arial" w:hAnsi="Arial"/>
                      <w:color w:val="000000" w:themeColor="text1"/>
                      <w:sz w:val="16"/>
                      <w:szCs w:val="16"/>
                    </w:rPr>
                    <w:t>Ex Ferrovia Spoleto-Norcia, Green way del Nera, l’itinerario Benedettino, la Via di Francesco, La via del Ferro, il Sentiero di Pio IX) del resto del territorio</w:t>
                  </w:r>
                  <w:r w:rsidR="00002EDF" w:rsidRPr="00002EDF">
                    <w:rPr>
                      <w:rFonts w:ascii="Arial" w:hAnsi="Arial"/>
                      <w:color w:val="000000" w:themeColor="text1"/>
                      <w:sz w:val="16"/>
                      <w:szCs w:val="16"/>
                    </w:rPr>
                    <w:t>.</w:t>
                  </w:r>
                </w:p>
              </w:tc>
            </w:tr>
          </w:tbl>
          <w:p w:rsidR="00EB028C" w:rsidRDefault="00EB028C" w:rsidP="00724739">
            <w:pPr>
              <w:spacing w:line="232" w:lineRule="auto"/>
              <w:ind w:left="113" w:right="113"/>
              <w:rPr>
                <w:rFonts w:ascii="Arial" w:eastAsia="Arial" w:hAnsi="Arial"/>
                <w:b/>
                <w:sz w:val="22"/>
              </w:rPr>
            </w:pPr>
          </w:p>
        </w:tc>
      </w:tr>
      <w:tr w:rsidR="00EB028C" w:rsidTr="00724739">
        <w:tc>
          <w:tcPr>
            <w:tcW w:w="567" w:type="dxa"/>
          </w:tcPr>
          <w:p w:rsidR="00EB028C" w:rsidRPr="0027769D" w:rsidRDefault="00EB028C" w:rsidP="00724739">
            <w:pPr>
              <w:spacing w:line="232" w:lineRule="auto"/>
              <w:ind w:left="113" w:right="113"/>
              <w:rPr>
                <w:rFonts w:ascii="Arial" w:eastAsia="Arial" w:hAnsi="Arial"/>
                <w:b/>
                <w:sz w:val="16"/>
              </w:rPr>
            </w:pPr>
            <w:r w:rsidRPr="0027769D">
              <w:rPr>
                <w:rFonts w:ascii="Arial" w:eastAsia="Arial" w:hAnsi="Arial"/>
                <w:b/>
                <w:sz w:val="16"/>
              </w:rPr>
              <w:t>3</w:t>
            </w:r>
          </w:p>
        </w:tc>
        <w:tc>
          <w:tcPr>
            <w:tcW w:w="2835" w:type="dxa"/>
          </w:tcPr>
          <w:p w:rsidR="00EB028C" w:rsidRDefault="00EB028C" w:rsidP="00724739">
            <w:pPr>
              <w:spacing w:line="232" w:lineRule="auto"/>
              <w:ind w:left="113" w:right="113"/>
              <w:rPr>
                <w:rFonts w:ascii="Arial" w:eastAsia="Arial" w:hAnsi="Arial"/>
                <w:b/>
                <w:sz w:val="22"/>
              </w:rPr>
            </w:pPr>
            <w:r>
              <w:rPr>
                <w:rFonts w:ascii="Arial" w:eastAsia="Arial" w:hAnsi="Arial"/>
                <w:b/>
                <w:sz w:val="16"/>
              </w:rPr>
              <w:t>Soggetti beneficiari</w:t>
            </w:r>
          </w:p>
        </w:tc>
        <w:tc>
          <w:tcPr>
            <w:tcW w:w="6237" w:type="dxa"/>
          </w:tcPr>
          <w:p w:rsidR="00EB028C" w:rsidRPr="005563BE" w:rsidRDefault="00974205" w:rsidP="00601E6A">
            <w:pPr>
              <w:pStyle w:val="Default"/>
              <w:ind w:left="132"/>
              <w:rPr>
                <w:rFonts w:ascii="Arial" w:hAnsi="Arial" w:cs="Arial"/>
                <w:color w:val="FF0000"/>
                <w:sz w:val="16"/>
                <w:szCs w:val="16"/>
              </w:rPr>
            </w:pPr>
            <w:r w:rsidRPr="00974205">
              <w:rPr>
                <w:rFonts w:ascii="Arial" w:hAnsi="Arial" w:cs="Arial"/>
                <w:color w:val="auto"/>
                <w:sz w:val="16"/>
                <w:szCs w:val="16"/>
              </w:rPr>
              <w:t>Enti pubblici</w:t>
            </w:r>
            <w:r w:rsidR="007345FD" w:rsidRPr="00974205">
              <w:rPr>
                <w:rFonts w:ascii="Arial" w:hAnsi="Arial" w:cs="Arial"/>
                <w:color w:val="auto"/>
                <w:sz w:val="16"/>
                <w:szCs w:val="16"/>
              </w:rPr>
              <w:t xml:space="preserve"> </w:t>
            </w:r>
          </w:p>
        </w:tc>
      </w:tr>
      <w:tr w:rsidR="00EB028C" w:rsidTr="00724739">
        <w:tc>
          <w:tcPr>
            <w:tcW w:w="567" w:type="dxa"/>
          </w:tcPr>
          <w:p w:rsidR="00EB028C" w:rsidRPr="0027769D" w:rsidRDefault="00EB028C" w:rsidP="00724739">
            <w:pPr>
              <w:spacing w:line="232" w:lineRule="auto"/>
              <w:ind w:left="113" w:right="113"/>
              <w:rPr>
                <w:rFonts w:ascii="Arial" w:eastAsia="Arial" w:hAnsi="Arial"/>
                <w:b/>
                <w:sz w:val="16"/>
              </w:rPr>
            </w:pPr>
            <w:r w:rsidRPr="0027769D">
              <w:rPr>
                <w:rFonts w:ascii="Arial" w:eastAsia="Arial" w:hAnsi="Arial"/>
                <w:b/>
                <w:sz w:val="16"/>
              </w:rPr>
              <w:t>4</w:t>
            </w:r>
          </w:p>
        </w:tc>
        <w:tc>
          <w:tcPr>
            <w:tcW w:w="2835" w:type="dxa"/>
          </w:tcPr>
          <w:p w:rsidR="00EB028C" w:rsidRDefault="00EB028C" w:rsidP="00724739">
            <w:pPr>
              <w:spacing w:line="232" w:lineRule="auto"/>
              <w:ind w:left="113" w:right="113"/>
              <w:rPr>
                <w:rFonts w:ascii="Arial" w:eastAsia="Arial" w:hAnsi="Arial"/>
                <w:b/>
                <w:sz w:val="22"/>
              </w:rPr>
            </w:pPr>
            <w:r>
              <w:rPr>
                <w:rFonts w:ascii="Arial" w:eastAsia="Arial" w:hAnsi="Arial"/>
                <w:b/>
                <w:sz w:val="16"/>
              </w:rPr>
              <w:t>CUP</w:t>
            </w:r>
          </w:p>
        </w:tc>
        <w:tc>
          <w:tcPr>
            <w:tcW w:w="6237" w:type="dxa"/>
          </w:tcPr>
          <w:p w:rsidR="00EB028C" w:rsidRDefault="00923817" w:rsidP="00724739">
            <w:pPr>
              <w:spacing w:line="232" w:lineRule="auto"/>
              <w:ind w:left="113" w:right="113"/>
              <w:rPr>
                <w:rFonts w:ascii="Arial" w:eastAsia="Arial" w:hAnsi="Arial"/>
                <w:b/>
                <w:sz w:val="22"/>
              </w:rPr>
            </w:pPr>
            <w:r>
              <w:rPr>
                <w:rFonts w:ascii="Arial" w:eastAsia="Arial" w:hAnsi="Arial"/>
                <w:b/>
                <w:sz w:val="22"/>
              </w:rPr>
              <w:t>/</w:t>
            </w:r>
          </w:p>
        </w:tc>
      </w:tr>
      <w:tr w:rsidR="00EB028C" w:rsidTr="00974205">
        <w:trPr>
          <w:trHeight w:val="432"/>
        </w:trPr>
        <w:tc>
          <w:tcPr>
            <w:tcW w:w="567" w:type="dxa"/>
          </w:tcPr>
          <w:p w:rsidR="00EB028C" w:rsidRPr="0027769D" w:rsidRDefault="00EB028C" w:rsidP="00724739">
            <w:pPr>
              <w:spacing w:line="232" w:lineRule="auto"/>
              <w:ind w:left="113" w:right="113"/>
              <w:rPr>
                <w:rFonts w:ascii="Arial" w:eastAsia="Arial" w:hAnsi="Arial"/>
                <w:b/>
                <w:sz w:val="16"/>
              </w:rPr>
            </w:pPr>
            <w:r w:rsidRPr="0027769D">
              <w:rPr>
                <w:rFonts w:ascii="Arial" w:eastAsia="Arial" w:hAnsi="Arial"/>
                <w:b/>
                <w:sz w:val="16"/>
              </w:rPr>
              <w:t>5</w:t>
            </w:r>
          </w:p>
        </w:tc>
        <w:tc>
          <w:tcPr>
            <w:tcW w:w="2835" w:type="dxa"/>
          </w:tcPr>
          <w:p w:rsidR="00EB028C" w:rsidRDefault="00EB028C" w:rsidP="00724739">
            <w:pPr>
              <w:spacing w:line="232" w:lineRule="auto"/>
              <w:ind w:left="113" w:right="113"/>
              <w:rPr>
                <w:rFonts w:ascii="Arial" w:eastAsia="Arial" w:hAnsi="Arial"/>
                <w:b/>
                <w:sz w:val="22"/>
              </w:rPr>
            </w:pPr>
            <w:r>
              <w:rPr>
                <w:rFonts w:ascii="Arial" w:eastAsia="Arial" w:hAnsi="Arial"/>
                <w:b/>
                <w:sz w:val="16"/>
              </w:rPr>
              <w:t>Dotazione finanziaria</w:t>
            </w:r>
          </w:p>
        </w:tc>
        <w:tc>
          <w:tcPr>
            <w:tcW w:w="6237" w:type="dxa"/>
          </w:tcPr>
          <w:p w:rsidR="00EB028C" w:rsidRDefault="00974205" w:rsidP="00A37637">
            <w:pPr>
              <w:spacing w:line="232" w:lineRule="auto"/>
              <w:ind w:left="113" w:right="113"/>
              <w:rPr>
                <w:rFonts w:ascii="Arial" w:eastAsia="Arial" w:hAnsi="Arial"/>
                <w:b/>
                <w:sz w:val="22"/>
              </w:rPr>
            </w:pPr>
            <w:r>
              <w:rPr>
                <w:rFonts w:ascii="Arial" w:hAnsi="Arial"/>
                <w:color w:val="000000"/>
                <w:sz w:val="16"/>
                <w:szCs w:val="16"/>
              </w:rPr>
              <w:t>Fino a €</w:t>
            </w:r>
            <w:r w:rsidR="00D05A54">
              <w:rPr>
                <w:rFonts w:ascii="Arial" w:hAnsi="Arial"/>
                <w:color w:val="000000"/>
                <w:sz w:val="16"/>
                <w:szCs w:val="16"/>
              </w:rPr>
              <w:t xml:space="preserve"> </w:t>
            </w:r>
            <w:r w:rsidR="00A37637">
              <w:rPr>
                <w:rFonts w:ascii="Arial" w:hAnsi="Arial"/>
                <w:color w:val="000000"/>
                <w:sz w:val="16"/>
                <w:szCs w:val="16"/>
              </w:rPr>
              <w:t>1.073</w:t>
            </w:r>
            <w:r>
              <w:rPr>
                <w:rFonts w:ascii="Arial" w:hAnsi="Arial"/>
                <w:color w:val="000000"/>
                <w:sz w:val="16"/>
                <w:szCs w:val="16"/>
              </w:rPr>
              <w:t>.5</w:t>
            </w:r>
            <w:r w:rsidR="007345FD" w:rsidRPr="007345FD">
              <w:rPr>
                <w:rFonts w:ascii="Arial" w:hAnsi="Arial"/>
                <w:color w:val="000000"/>
                <w:sz w:val="16"/>
                <w:szCs w:val="16"/>
              </w:rPr>
              <w:t>00,00 quale quota parte dei € 4.366.979,16 messi a disposizione dell’area interna nell’ambito delle misure del PSR</w:t>
            </w:r>
          </w:p>
        </w:tc>
      </w:tr>
      <w:tr w:rsidR="00EB028C" w:rsidTr="00724739">
        <w:tc>
          <w:tcPr>
            <w:tcW w:w="567" w:type="dxa"/>
          </w:tcPr>
          <w:p w:rsidR="00EB028C" w:rsidRPr="0027769D" w:rsidRDefault="00EB028C" w:rsidP="00724739">
            <w:pPr>
              <w:spacing w:line="232" w:lineRule="auto"/>
              <w:ind w:left="113" w:right="113"/>
              <w:rPr>
                <w:rFonts w:ascii="Arial" w:eastAsia="Arial" w:hAnsi="Arial"/>
                <w:b/>
                <w:sz w:val="16"/>
              </w:rPr>
            </w:pPr>
            <w:r w:rsidRPr="0027769D">
              <w:rPr>
                <w:rFonts w:ascii="Arial" w:eastAsia="Arial" w:hAnsi="Arial"/>
                <w:b/>
                <w:sz w:val="16"/>
              </w:rPr>
              <w:t>6</w:t>
            </w:r>
          </w:p>
        </w:tc>
        <w:tc>
          <w:tcPr>
            <w:tcW w:w="2835" w:type="dxa"/>
          </w:tcPr>
          <w:p w:rsidR="00EB028C" w:rsidRDefault="00EB028C" w:rsidP="00724739">
            <w:pPr>
              <w:spacing w:line="232" w:lineRule="auto"/>
              <w:ind w:left="113" w:right="113"/>
              <w:rPr>
                <w:rFonts w:ascii="Arial" w:eastAsia="Arial" w:hAnsi="Arial"/>
                <w:b/>
                <w:sz w:val="22"/>
              </w:rPr>
            </w:pPr>
            <w:r>
              <w:rPr>
                <w:rFonts w:ascii="Arial" w:eastAsia="Arial" w:hAnsi="Arial"/>
                <w:b/>
                <w:sz w:val="16"/>
              </w:rPr>
              <w:t>Fonte finanziaria</w:t>
            </w:r>
          </w:p>
        </w:tc>
        <w:tc>
          <w:tcPr>
            <w:tcW w:w="6237" w:type="dxa"/>
          </w:tcPr>
          <w:p w:rsidR="00EB028C" w:rsidRDefault="001812DC" w:rsidP="00724739">
            <w:pPr>
              <w:spacing w:line="232" w:lineRule="auto"/>
              <w:ind w:left="113" w:right="113"/>
              <w:rPr>
                <w:rFonts w:ascii="Arial" w:eastAsia="Arial" w:hAnsi="Arial"/>
                <w:b/>
                <w:sz w:val="22"/>
              </w:rPr>
            </w:pPr>
            <w:r w:rsidRPr="001812DC">
              <w:rPr>
                <w:rFonts w:ascii="Arial" w:hAnsi="Arial"/>
                <w:color w:val="000000"/>
                <w:sz w:val="16"/>
                <w:szCs w:val="16"/>
              </w:rPr>
              <w:t>PSR 2014-2020 Misura 7.5.1</w:t>
            </w:r>
          </w:p>
        </w:tc>
      </w:tr>
      <w:tr w:rsidR="00EB028C" w:rsidTr="00601E6A">
        <w:trPr>
          <w:trHeight w:val="1973"/>
        </w:trPr>
        <w:tc>
          <w:tcPr>
            <w:tcW w:w="567" w:type="dxa"/>
          </w:tcPr>
          <w:p w:rsidR="00EB028C" w:rsidRDefault="00EB028C" w:rsidP="00724739">
            <w:pPr>
              <w:spacing w:line="232" w:lineRule="auto"/>
              <w:ind w:left="113" w:right="113"/>
              <w:rPr>
                <w:rFonts w:ascii="Arial" w:eastAsia="Arial" w:hAnsi="Arial"/>
                <w:b/>
                <w:sz w:val="22"/>
              </w:rPr>
            </w:pPr>
            <w:r>
              <w:rPr>
                <w:rFonts w:ascii="Arial" w:eastAsia="Arial" w:hAnsi="Arial"/>
                <w:b/>
                <w:sz w:val="16"/>
              </w:rPr>
              <w:t>7</w:t>
            </w:r>
          </w:p>
        </w:tc>
        <w:tc>
          <w:tcPr>
            <w:tcW w:w="2835" w:type="dxa"/>
          </w:tcPr>
          <w:p w:rsidR="00EB028C" w:rsidRDefault="00EB028C" w:rsidP="00724739">
            <w:pPr>
              <w:spacing w:line="232" w:lineRule="auto"/>
              <w:ind w:left="113" w:right="113"/>
              <w:rPr>
                <w:rFonts w:ascii="Arial" w:eastAsia="Arial" w:hAnsi="Arial"/>
                <w:b/>
                <w:sz w:val="22"/>
              </w:rPr>
            </w:pPr>
            <w:r>
              <w:rPr>
                <w:rFonts w:ascii="Arial" w:eastAsia="Arial" w:hAnsi="Arial"/>
                <w:b/>
                <w:sz w:val="16"/>
              </w:rPr>
              <w:t>Contenuti dei progetti cantierabili</w:t>
            </w:r>
          </w:p>
        </w:tc>
        <w:tc>
          <w:tcPr>
            <w:tcW w:w="6237" w:type="dxa"/>
            <w:vAlign w:val="center"/>
          </w:tcPr>
          <w:p w:rsidR="00770055" w:rsidRDefault="00770055" w:rsidP="00601E6A">
            <w:pPr>
              <w:autoSpaceDE w:val="0"/>
              <w:autoSpaceDN w:val="0"/>
              <w:adjustRightInd w:val="0"/>
              <w:spacing w:after="16"/>
              <w:ind w:left="132" w:right="151"/>
              <w:jc w:val="both"/>
              <w:rPr>
                <w:rFonts w:ascii="Arial" w:hAnsi="Arial"/>
                <w:bCs/>
                <w:iCs/>
                <w:sz w:val="16"/>
                <w:szCs w:val="16"/>
              </w:rPr>
            </w:pPr>
            <w:r>
              <w:rPr>
                <w:rFonts w:ascii="Arial" w:hAnsi="Arial"/>
                <w:bCs/>
                <w:iCs/>
                <w:sz w:val="16"/>
                <w:szCs w:val="16"/>
              </w:rPr>
              <w:t>Le progettualità candidabili a valere sui bandi delle misure PSR potranno riguardare:</w:t>
            </w:r>
          </w:p>
          <w:tbl>
            <w:tblPr>
              <w:tblW w:w="0" w:type="auto"/>
              <w:tblBorders>
                <w:top w:val="nil"/>
                <w:left w:val="nil"/>
                <w:bottom w:val="nil"/>
                <w:right w:val="nil"/>
              </w:tblBorders>
              <w:tblLayout w:type="fixed"/>
              <w:tblLook w:val="0000" w:firstRow="0" w:lastRow="0" w:firstColumn="0" w:lastColumn="0" w:noHBand="0" w:noVBand="0"/>
            </w:tblPr>
            <w:tblGrid>
              <w:gridCol w:w="6096"/>
            </w:tblGrid>
            <w:tr w:rsidR="00786E96" w:rsidRPr="00786E96" w:rsidTr="00786E96">
              <w:trPr>
                <w:trHeight w:val="1386"/>
              </w:trPr>
              <w:tc>
                <w:tcPr>
                  <w:tcW w:w="6096" w:type="dxa"/>
                </w:tcPr>
                <w:p w:rsidR="00786E96" w:rsidRPr="00786E96" w:rsidRDefault="00786E96" w:rsidP="00786E96">
                  <w:pPr>
                    <w:pStyle w:val="Paragrafoelenco"/>
                    <w:numPr>
                      <w:ilvl w:val="0"/>
                      <w:numId w:val="3"/>
                    </w:numPr>
                    <w:autoSpaceDE w:val="0"/>
                    <w:autoSpaceDN w:val="0"/>
                    <w:adjustRightInd w:val="0"/>
                    <w:ind w:left="176" w:hanging="142"/>
                    <w:jc w:val="both"/>
                    <w:rPr>
                      <w:rFonts w:ascii="Arial" w:hAnsi="Arial"/>
                      <w:bCs/>
                      <w:iCs/>
                      <w:sz w:val="16"/>
                      <w:szCs w:val="16"/>
                    </w:rPr>
                  </w:pPr>
                  <w:proofErr w:type="gramStart"/>
                  <w:r w:rsidRPr="00786E96">
                    <w:rPr>
                      <w:rFonts w:ascii="Arial" w:hAnsi="Arial"/>
                      <w:bCs/>
                      <w:iCs/>
                      <w:sz w:val="16"/>
                      <w:szCs w:val="16"/>
                    </w:rPr>
                    <w:t>recupero</w:t>
                  </w:r>
                  <w:proofErr w:type="gramEnd"/>
                  <w:r w:rsidRPr="00786E96">
                    <w:rPr>
                      <w:rFonts w:ascii="Arial" w:hAnsi="Arial"/>
                      <w:bCs/>
                      <w:iCs/>
                      <w:sz w:val="16"/>
                      <w:szCs w:val="16"/>
                    </w:rPr>
                    <w:t xml:space="preserve"> di percorsi destinati allo sviluppo turistico; </w:t>
                  </w:r>
                </w:p>
                <w:p w:rsidR="00786E96" w:rsidRPr="00786E96" w:rsidRDefault="00786E96" w:rsidP="00786E96">
                  <w:pPr>
                    <w:pStyle w:val="Paragrafoelenco"/>
                    <w:numPr>
                      <w:ilvl w:val="0"/>
                      <w:numId w:val="3"/>
                    </w:numPr>
                    <w:autoSpaceDE w:val="0"/>
                    <w:autoSpaceDN w:val="0"/>
                    <w:adjustRightInd w:val="0"/>
                    <w:ind w:left="176" w:hanging="142"/>
                    <w:jc w:val="both"/>
                    <w:rPr>
                      <w:rFonts w:ascii="Arial" w:hAnsi="Arial"/>
                      <w:bCs/>
                      <w:iCs/>
                      <w:sz w:val="16"/>
                      <w:szCs w:val="16"/>
                    </w:rPr>
                  </w:pPr>
                  <w:proofErr w:type="gramStart"/>
                  <w:r w:rsidRPr="00786E96">
                    <w:rPr>
                      <w:rFonts w:ascii="Arial" w:hAnsi="Arial"/>
                      <w:bCs/>
                      <w:iCs/>
                      <w:sz w:val="16"/>
                      <w:szCs w:val="16"/>
                    </w:rPr>
                    <w:t>miglioramento</w:t>
                  </w:r>
                  <w:proofErr w:type="gramEnd"/>
                  <w:r w:rsidRPr="00786E96">
                    <w:rPr>
                      <w:rFonts w:ascii="Arial" w:hAnsi="Arial"/>
                      <w:bCs/>
                      <w:iCs/>
                      <w:sz w:val="16"/>
                      <w:szCs w:val="16"/>
                    </w:rPr>
                    <w:t xml:space="preserve"> della ricettività (es. rifugi, bivacchi, ostelli ) e delle strutture a servizio della fruizione escursionistica, sportiva ed outdoor regionale; </w:t>
                  </w:r>
                </w:p>
                <w:p w:rsidR="00786E96" w:rsidRPr="00786E96" w:rsidRDefault="00786E96" w:rsidP="00786E96">
                  <w:pPr>
                    <w:pStyle w:val="Paragrafoelenco"/>
                    <w:numPr>
                      <w:ilvl w:val="0"/>
                      <w:numId w:val="3"/>
                    </w:numPr>
                    <w:autoSpaceDE w:val="0"/>
                    <w:autoSpaceDN w:val="0"/>
                    <w:adjustRightInd w:val="0"/>
                    <w:ind w:left="176" w:hanging="142"/>
                    <w:jc w:val="both"/>
                    <w:rPr>
                      <w:rFonts w:ascii="Arial" w:hAnsi="Arial"/>
                      <w:bCs/>
                      <w:iCs/>
                      <w:sz w:val="16"/>
                      <w:szCs w:val="16"/>
                    </w:rPr>
                  </w:pPr>
                  <w:proofErr w:type="gramStart"/>
                  <w:r w:rsidRPr="00786E96">
                    <w:rPr>
                      <w:rFonts w:ascii="Arial" w:hAnsi="Arial"/>
                      <w:bCs/>
                      <w:iCs/>
                      <w:sz w:val="16"/>
                      <w:szCs w:val="16"/>
                    </w:rPr>
                    <w:t>miglioramento</w:t>
                  </w:r>
                  <w:proofErr w:type="gramEnd"/>
                  <w:r w:rsidRPr="00786E96">
                    <w:rPr>
                      <w:rFonts w:ascii="Arial" w:hAnsi="Arial"/>
                      <w:bCs/>
                      <w:iCs/>
                      <w:sz w:val="16"/>
                      <w:szCs w:val="16"/>
                    </w:rPr>
                    <w:t xml:space="preserve"> dell’accessibilità, percorribilità e segnaletica degli itinerari inclusi nella rete escursionistica regionale, con particolare riferimento alla rete cicloturistica regionale, ai fini di migliorarne la fruizione e favorirne l’integrazione con i servizi offerti dagli operatori locali; </w:t>
                  </w:r>
                </w:p>
                <w:p w:rsidR="00786E96" w:rsidRPr="00786E96" w:rsidRDefault="00786E96" w:rsidP="00786E96">
                  <w:pPr>
                    <w:pStyle w:val="Paragrafoelenco"/>
                    <w:numPr>
                      <w:ilvl w:val="0"/>
                      <w:numId w:val="3"/>
                    </w:numPr>
                    <w:autoSpaceDE w:val="0"/>
                    <w:autoSpaceDN w:val="0"/>
                    <w:adjustRightInd w:val="0"/>
                    <w:ind w:left="176" w:hanging="142"/>
                    <w:jc w:val="both"/>
                    <w:rPr>
                      <w:rFonts w:ascii="Arial" w:hAnsi="Arial"/>
                      <w:bCs/>
                      <w:iCs/>
                      <w:sz w:val="16"/>
                      <w:szCs w:val="16"/>
                    </w:rPr>
                  </w:pPr>
                  <w:proofErr w:type="gramStart"/>
                  <w:r w:rsidRPr="00786E96">
                    <w:rPr>
                      <w:rFonts w:ascii="Arial" w:hAnsi="Arial"/>
                      <w:bCs/>
                      <w:iCs/>
                      <w:sz w:val="16"/>
                      <w:szCs w:val="16"/>
                    </w:rPr>
                    <w:t>recupero</w:t>
                  </w:r>
                  <w:proofErr w:type="gramEnd"/>
                  <w:r w:rsidRPr="00786E96">
                    <w:rPr>
                      <w:rFonts w:ascii="Arial" w:hAnsi="Arial"/>
                      <w:bCs/>
                      <w:iCs/>
                      <w:sz w:val="16"/>
                      <w:szCs w:val="16"/>
                    </w:rPr>
                    <w:t xml:space="preserve">, conservazione, ristrutturazione e adeguamento di strutture di pregio culturale situate lungo o in prossimità dei percorsi; </w:t>
                  </w:r>
                </w:p>
                <w:p w:rsidR="00786E96" w:rsidRPr="00786E96" w:rsidRDefault="00786E96" w:rsidP="00786E96">
                  <w:pPr>
                    <w:pStyle w:val="Paragrafoelenco"/>
                    <w:numPr>
                      <w:ilvl w:val="0"/>
                      <w:numId w:val="3"/>
                    </w:numPr>
                    <w:autoSpaceDE w:val="0"/>
                    <w:autoSpaceDN w:val="0"/>
                    <w:adjustRightInd w:val="0"/>
                    <w:ind w:left="176" w:hanging="142"/>
                    <w:jc w:val="both"/>
                    <w:rPr>
                      <w:rFonts w:ascii="Arial" w:hAnsi="Arial"/>
                      <w:bCs/>
                      <w:iCs/>
                      <w:sz w:val="16"/>
                      <w:szCs w:val="16"/>
                    </w:rPr>
                  </w:pPr>
                  <w:proofErr w:type="gramStart"/>
                  <w:r w:rsidRPr="00786E96">
                    <w:rPr>
                      <w:rFonts w:ascii="Arial" w:hAnsi="Arial"/>
                      <w:bCs/>
                      <w:iCs/>
                      <w:sz w:val="16"/>
                      <w:szCs w:val="16"/>
                    </w:rPr>
                    <w:t>investimenti</w:t>
                  </w:r>
                  <w:proofErr w:type="gramEnd"/>
                  <w:r w:rsidRPr="00786E96">
                    <w:rPr>
                      <w:rFonts w:ascii="Arial" w:hAnsi="Arial"/>
                      <w:bCs/>
                      <w:iCs/>
                      <w:sz w:val="16"/>
                      <w:szCs w:val="16"/>
                    </w:rPr>
                    <w:t xml:space="preserve"> ai sensi dell’art.45 del Reg. UE 1305/2013 ad uso pubblico per informazioni turistiche e infrastrutture di piccola scala </w:t>
                  </w:r>
                </w:p>
                <w:p w:rsidR="00786E96" w:rsidRPr="00786E96" w:rsidRDefault="00786E96" w:rsidP="00786E96">
                  <w:pPr>
                    <w:autoSpaceDE w:val="0"/>
                    <w:autoSpaceDN w:val="0"/>
                    <w:adjustRightInd w:val="0"/>
                    <w:rPr>
                      <w:rFonts w:ascii="Times New Roman" w:eastAsiaTheme="minorHAnsi" w:hAnsi="Times New Roman" w:cs="Times New Roman"/>
                      <w:color w:val="000000"/>
                      <w:sz w:val="23"/>
                      <w:szCs w:val="23"/>
                      <w:lang w:eastAsia="en-US"/>
                    </w:rPr>
                  </w:pPr>
                </w:p>
              </w:tc>
            </w:tr>
          </w:tbl>
          <w:p w:rsidR="00EB028C" w:rsidRPr="00770055" w:rsidRDefault="00EB028C" w:rsidP="00601E6A">
            <w:pPr>
              <w:autoSpaceDE w:val="0"/>
              <w:autoSpaceDN w:val="0"/>
              <w:adjustRightInd w:val="0"/>
              <w:spacing w:after="16"/>
              <w:ind w:left="132" w:right="151"/>
              <w:jc w:val="both"/>
              <w:rPr>
                <w:rFonts w:ascii="Arial" w:hAnsi="Arial"/>
                <w:bCs/>
                <w:iCs/>
                <w:sz w:val="16"/>
                <w:szCs w:val="16"/>
              </w:rPr>
            </w:pPr>
          </w:p>
        </w:tc>
      </w:tr>
      <w:tr w:rsidR="00EB028C" w:rsidTr="00D8190A">
        <w:trPr>
          <w:trHeight w:val="2952"/>
        </w:trPr>
        <w:tc>
          <w:tcPr>
            <w:tcW w:w="567" w:type="dxa"/>
          </w:tcPr>
          <w:p w:rsidR="00EB028C" w:rsidRPr="0027769D" w:rsidRDefault="00EB028C" w:rsidP="00724739">
            <w:pPr>
              <w:spacing w:line="232" w:lineRule="auto"/>
              <w:ind w:left="113" w:right="113"/>
              <w:rPr>
                <w:rFonts w:ascii="Arial" w:eastAsia="Arial" w:hAnsi="Arial"/>
                <w:b/>
                <w:sz w:val="16"/>
              </w:rPr>
            </w:pPr>
            <w:r w:rsidRPr="0027769D">
              <w:rPr>
                <w:rFonts w:ascii="Arial" w:eastAsia="Arial" w:hAnsi="Arial"/>
                <w:b/>
                <w:sz w:val="16"/>
              </w:rPr>
              <w:t>8</w:t>
            </w:r>
          </w:p>
        </w:tc>
        <w:tc>
          <w:tcPr>
            <w:tcW w:w="2835" w:type="dxa"/>
          </w:tcPr>
          <w:p w:rsidR="00EB028C" w:rsidRDefault="00EB028C" w:rsidP="00724739">
            <w:pPr>
              <w:spacing w:line="232" w:lineRule="auto"/>
              <w:ind w:left="113" w:right="113"/>
              <w:rPr>
                <w:rFonts w:ascii="Arial" w:eastAsia="Arial" w:hAnsi="Arial"/>
                <w:b/>
                <w:sz w:val="22"/>
              </w:rPr>
            </w:pPr>
            <w:r w:rsidRPr="00A37637">
              <w:rPr>
                <w:rFonts w:ascii="Arial" w:eastAsia="Arial" w:hAnsi="Arial"/>
                <w:b/>
                <w:sz w:val="16"/>
              </w:rPr>
              <w:t>Tipologia di spesa</w:t>
            </w:r>
          </w:p>
        </w:tc>
        <w:tc>
          <w:tcPr>
            <w:tcW w:w="6237" w:type="dxa"/>
          </w:tcPr>
          <w:p w:rsidR="00770055" w:rsidRPr="00855316" w:rsidRDefault="00770055" w:rsidP="00D8190A">
            <w:pPr>
              <w:ind w:left="45" w:right="151"/>
              <w:jc w:val="both"/>
              <w:rPr>
                <w:rFonts w:ascii="Arial" w:hAnsi="Arial"/>
                <w:bCs/>
                <w:iCs/>
                <w:sz w:val="16"/>
                <w:szCs w:val="16"/>
              </w:rPr>
            </w:pPr>
            <w:r w:rsidRPr="00855316">
              <w:rPr>
                <w:rFonts w:ascii="Arial" w:hAnsi="Arial"/>
                <w:bCs/>
                <w:iCs/>
                <w:sz w:val="16"/>
                <w:szCs w:val="16"/>
              </w:rPr>
              <w:t>I singoli bandi indicheranno le specifiche voci di spesa ammissibili e comunque nel rispetto di quanto previsto dall’art. 45 paragrafo 2 del Reg. (UE) n. 1305/2013 di seguito riportato:</w:t>
            </w:r>
          </w:p>
          <w:p w:rsidR="00770055" w:rsidRPr="00855316" w:rsidRDefault="00770055" w:rsidP="00D8190A">
            <w:pPr>
              <w:ind w:left="45" w:right="151"/>
              <w:jc w:val="both"/>
              <w:rPr>
                <w:rFonts w:ascii="Arial" w:hAnsi="Arial"/>
                <w:bCs/>
                <w:iCs/>
                <w:sz w:val="16"/>
                <w:szCs w:val="16"/>
              </w:rPr>
            </w:pPr>
            <w:r w:rsidRPr="00855316">
              <w:rPr>
                <w:rFonts w:ascii="Arial" w:hAnsi="Arial"/>
                <w:bCs/>
                <w:iCs/>
                <w:sz w:val="16"/>
                <w:szCs w:val="16"/>
              </w:rPr>
              <w:t>a) costruzione, acquisizione, incluso il leasing, o miglioramento di beni immobili (con le specifiche contenute nei bandi in particolare per terreni e fabbricati);</w:t>
            </w:r>
          </w:p>
          <w:p w:rsidR="00770055" w:rsidRPr="00855316" w:rsidRDefault="00770055" w:rsidP="00D8190A">
            <w:pPr>
              <w:ind w:left="45" w:right="151"/>
              <w:jc w:val="both"/>
              <w:rPr>
                <w:rFonts w:ascii="Arial" w:hAnsi="Arial"/>
                <w:bCs/>
                <w:iCs/>
                <w:sz w:val="16"/>
                <w:szCs w:val="16"/>
              </w:rPr>
            </w:pPr>
            <w:r w:rsidRPr="00855316">
              <w:rPr>
                <w:rFonts w:ascii="Arial" w:hAnsi="Arial"/>
                <w:bCs/>
                <w:iCs/>
                <w:sz w:val="16"/>
                <w:szCs w:val="16"/>
              </w:rPr>
              <w:t xml:space="preserve"> b) acquisto o leasing di nuovi macchinari e attrezzature fino a copertura del valore di mercato del bene;</w:t>
            </w:r>
          </w:p>
          <w:p w:rsidR="00770055" w:rsidRPr="00855316" w:rsidRDefault="00770055" w:rsidP="00D8190A">
            <w:pPr>
              <w:ind w:left="45" w:right="151"/>
              <w:jc w:val="both"/>
              <w:rPr>
                <w:rFonts w:ascii="Arial" w:hAnsi="Arial"/>
                <w:bCs/>
                <w:iCs/>
                <w:sz w:val="16"/>
                <w:szCs w:val="16"/>
              </w:rPr>
            </w:pPr>
            <w:r w:rsidRPr="00855316">
              <w:rPr>
                <w:rFonts w:ascii="Arial" w:hAnsi="Arial"/>
                <w:bCs/>
                <w:iCs/>
                <w:sz w:val="16"/>
                <w:szCs w:val="16"/>
              </w:rPr>
              <w:t>c) spese generali collegate alle spese di cui alle lettere a) e b), come onorari di architetti, ingegneri e consulenti, compensi per consulenze in materia di sostenibilità ambientale ed economica, inclusi studi di fattibilità. Gli studi di fattibilità rimangono spese ammissibili anche quando, in base ai loro risultati, non sono effettuate spese a titolo delle lettere a) e b);</w:t>
            </w:r>
          </w:p>
          <w:p w:rsidR="00770055" w:rsidRPr="00855316" w:rsidRDefault="00770055" w:rsidP="00D8190A">
            <w:pPr>
              <w:ind w:left="45" w:right="151"/>
              <w:jc w:val="both"/>
              <w:rPr>
                <w:rFonts w:ascii="Arial" w:hAnsi="Arial"/>
                <w:bCs/>
                <w:iCs/>
                <w:sz w:val="16"/>
                <w:szCs w:val="16"/>
              </w:rPr>
            </w:pPr>
            <w:r w:rsidRPr="00855316">
              <w:rPr>
                <w:rFonts w:ascii="Arial" w:hAnsi="Arial"/>
                <w:bCs/>
                <w:iCs/>
                <w:sz w:val="16"/>
                <w:szCs w:val="16"/>
              </w:rPr>
              <w:t>d) i seguenti investimenti immateriali: acquisizione o sviluppo di programmi informatici e acquisizione di brevetti, licenze, diritti d'autore, marchi commerciali;</w:t>
            </w:r>
          </w:p>
          <w:p w:rsidR="00EB028C" w:rsidRPr="00770055" w:rsidRDefault="00770055" w:rsidP="00D8190A">
            <w:pPr>
              <w:ind w:left="45" w:right="151"/>
              <w:jc w:val="both"/>
              <w:rPr>
                <w:rFonts w:ascii="Arial" w:hAnsi="Arial"/>
                <w:bCs/>
                <w:iCs/>
                <w:sz w:val="16"/>
                <w:szCs w:val="16"/>
              </w:rPr>
            </w:pPr>
            <w:r w:rsidRPr="00855316">
              <w:rPr>
                <w:rFonts w:ascii="Arial" w:hAnsi="Arial"/>
                <w:bCs/>
                <w:iCs/>
                <w:sz w:val="16"/>
                <w:szCs w:val="16"/>
              </w:rPr>
              <w:t>e) i costi di elaborazione di piani di gestione e loro equivalenti</w:t>
            </w:r>
            <w:r w:rsidR="00D8190A">
              <w:rPr>
                <w:rFonts w:ascii="Arial" w:hAnsi="Arial"/>
                <w:bCs/>
                <w:iCs/>
                <w:sz w:val="16"/>
                <w:szCs w:val="16"/>
              </w:rPr>
              <w:t>.</w:t>
            </w:r>
          </w:p>
        </w:tc>
      </w:tr>
      <w:tr w:rsidR="00EB028C" w:rsidTr="00724739">
        <w:tc>
          <w:tcPr>
            <w:tcW w:w="567" w:type="dxa"/>
          </w:tcPr>
          <w:p w:rsidR="00EB028C" w:rsidRPr="0027769D" w:rsidRDefault="00EB028C" w:rsidP="00724739">
            <w:pPr>
              <w:spacing w:line="232" w:lineRule="auto"/>
              <w:ind w:left="113" w:right="113"/>
              <w:rPr>
                <w:rFonts w:ascii="Arial" w:eastAsia="Arial" w:hAnsi="Arial"/>
                <w:b/>
                <w:sz w:val="16"/>
              </w:rPr>
            </w:pPr>
            <w:r w:rsidRPr="0027769D">
              <w:rPr>
                <w:rFonts w:ascii="Arial" w:eastAsia="Arial" w:hAnsi="Arial"/>
                <w:b/>
                <w:sz w:val="16"/>
              </w:rPr>
              <w:t>9</w:t>
            </w:r>
          </w:p>
        </w:tc>
        <w:tc>
          <w:tcPr>
            <w:tcW w:w="2835" w:type="dxa"/>
          </w:tcPr>
          <w:p w:rsidR="00EB028C" w:rsidRDefault="00EB028C" w:rsidP="00724739">
            <w:pPr>
              <w:spacing w:line="232" w:lineRule="auto"/>
              <w:ind w:left="113" w:right="113"/>
              <w:rPr>
                <w:rFonts w:ascii="Arial" w:eastAsia="Arial" w:hAnsi="Arial"/>
                <w:b/>
                <w:sz w:val="22"/>
              </w:rPr>
            </w:pPr>
            <w:r>
              <w:rPr>
                <w:rFonts w:ascii="Arial" w:eastAsia="Arial" w:hAnsi="Arial"/>
                <w:b/>
                <w:sz w:val="16"/>
              </w:rPr>
              <w:t>Tempi di realizzazione</w:t>
            </w:r>
          </w:p>
        </w:tc>
        <w:tc>
          <w:tcPr>
            <w:tcW w:w="6237" w:type="dxa"/>
          </w:tcPr>
          <w:p w:rsidR="00EB028C" w:rsidRPr="00BA0A76" w:rsidRDefault="005563BE" w:rsidP="00724739">
            <w:pPr>
              <w:spacing w:line="232" w:lineRule="auto"/>
              <w:ind w:left="113" w:right="113"/>
              <w:rPr>
                <w:rFonts w:ascii="Arial" w:hAnsi="Arial"/>
                <w:b/>
                <w:sz w:val="16"/>
                <w:szCs w:val="16"/>
              </w:rPr>
            </w:pPr>
            <w:r w:rsidRPr="00BA0A76">
              <w:rPr>
                <w:rFonts w:ascii="Arial" w:hAnsi="Arial"/>
                <w:b/>
                <w:sz w:val="16"/>
                <w:szCs w:val="16"/>
              </w:rPr>
              <w:t>Data inizio intervento:</w:t>
            </w:r>
            <w:r w:rsidR="00A339F9" w:rsidRPr="00BA0A76">
              <w:rPr>
                <w:rFonts w:ascii="Arial" w:hAnsi="Arial"/>
                <w:b/>
                <w:sz w:val="16"/>
                <w:szCs w:val="16"/>
              </w:rPr>
              <w:t xml:space="preserve"> </w:t>
            </w:r>
            <w:r w:rsidR="00BA0A76">
              <w:rPr>
                <w:rFonts w:ascii="Arial" w:hAnsi="Arial"/>
                <w:b/>
                <w:sz w:val="16"/>
                <w:szCs w:val="16"/>
              </w:rPr>
              <w:t>01/03/2021</w:t>
            </w:r>
          </w:p>
          <w:p w:rsidR="005563BE" w:rsidRDefault="005563BE" w:rsidP="00724739">
            <w:pPr>
              <w:spacing w:line="232" w:lineRule="auto"/>
              <w:ind w:left="113" w:right="113"/>
              <w:rPr>
                <w:rFonts w:ascii="Arial" w:eastAsia="Arial" w:hAnsi="Arial"/>
                <w:b/>
                <w:sz w:val="22"/>
              </w:rPr>
            </w:pPr>
            <w:r w:rsidRPr="00BA0A76">
              <w:rPr>
                <w:rFonts w:ascii="Arial" w:hAnsi="Arial"/>
                <w:b/>
                <w:sz w:val="16"/>
                <w:szCs w:val="16"/>
              </w:rPr>
              <w:t>Data fine intervento:</w:t>
            </w:r>
            <w:r w:rsidR="00BA0A76">
              <w:rPr>
                <w:rFonts w:ascii="Arial" w:hAnsi="Arial"/>
                <w:b/>
                <w:sz w:val="16"/>
                <w:szCs w:val="16"/>
              </w:rPr>
              <w:t xml:space="preserve"> 30/09/2022</w:t>
            </w:r>
          </w:p>
        </w:tc>
      </w:tr>
      <w:tr w:rsidR="00EB028C" w:rsidTr="00724739">
        <w:tc>
          <w:tcPr>
            <w:tcW w:w="567" w:type="dxa"/>
          </w:tcPr>
          <w:p w:rsidR="00EB028C" w:rsidRPr="0027769D" w:rsidRDefault="00EB028C" w:rsidP="00724739">
            <w:pPr>
              <w:spacing w:line="232" w:lineRule="auto"/>
              <w:ind w:left="113" w:right="113"/>
              <w:rPr>
                <w:rFonts w:ascii="Arial" w:eastAsia="Arial" w:hAnsi="Arial"/>
                <w:b/>
                <w:sz w:val="16"/>
              </w:rPr>
            </w:pPr>
            <w:r w:rsidRPr="0027769D">
              <w:rPr>
                <w:rFonts w:ascii="Arial" w:eastAsia="Arial" w:hAnsi="Arial"/>
                <w:b/>
                <w:sz w:val="16"/>
              </w:rPr>
              <w:t>10</w:t>
            </w:r>
          </w:p>
        </w:tc>
        <w:tc>
          <w:tcPr>
            <w:tcW w:w="2835" w:type="dxa"/>
          </w:tcPr>
          <w:p w:rsidR="00EB028C" w:rsidRDefault="00EB028C" w:rsidP="00724739">
            <w:pPr>
              <w:spacing w:line="232" w:lineRule="auto"/>
              <w:ind w:left="113" w:right="113"/>
              <w:rPr>
                <w:rFonts w:ascii="Arial" w:eastAsia="Arial" w:hAnsi="Arial"/>
                <w:b/>
                <w:sz w:val="22"/>
              </w:rPr>
            </w:pPr>
            <w:r>
              <w:rPr>
                <w:rFonts w:ascii="Arial" w:eastAsia="Arial" w:hAnsi="Arial"/>
                <w:b/>
                <w:sz w:val="16"/>
              </w:rPr>
              <w:t>Indicatori di realizzazione e di risultato</w:t>
            </w:r>
          </w:p>
        </w:tc>
        <w:tc>
          <w:tcPr>
            <w:tcW w:w="6237" w:type="dxa"/>
          </w:tcPr>
          <w:p w:rsidR="00A339F9" w:rsidRPr="00991E4C" w:rsidRDefault="00A339F9" w:rsidP="00601E6A">
            <w:pPr>
              <w:pStyle w:val="Default"/>
              <w:spacing w:before="120"/>
              <w:ind w:left="113" w:right="113"/>
              <w:rPr>
                <w:rFonts w:ascii="Arial" w:hAnsi="Arial" w:cs="Arial"/>
                <w:b/>
                <w:sz w:val="16"/>
                <w:szCs w:val="16"/>
              </w:rPr>
            </w:pPr>
            <w:r w:rsidRPr="00991E4C">
              <w:rPr>
                <w:rFonts w:ascii="Arial" w:hAnsi="Arial" w:cs="Arial"/>
                <w:b/>
                <w:sz w:val="16"/>
                <w:szCs w:val="16"/>
              </w:rPr>
              <w:t>Indicatore di realizzazione:</w:t>
            </w:r>
          </w:p>
          <w:p w:rsidR="004E0FE5" w:rsidRPr="00991E4C" w:rsidRDefault="00A339F9" w:rsidP="00991E4C">
            <w:pPr>
              <w:pStyle w:val="Default"/>
              <w:ind w:left="113" w:right="113"/>
              <w:rPr>
                <w:rFonts w:ascii="Arial" w:hAnsi="Arial" w:cs="Arial"/>
                <w:sz w:val="16"/>
                <w:szCs w:val="16"/>
              </w:rPr>
            </w:pPr>
            <w:r w:rsidRPr="00991E4C">
              <w:rPr>
                <w:rFonts w:ascii="Arial" w:hAnsi="Arial" w:cs="Arial"/>
                <w:sz w:val="16"/>
                <w:szCs w:val="16"/>
              </w:rPr>
              <w:t>N. di operazioni beneficiarie del sostegno agli investimenti in infrastrutture ricreative/turistiche</w:t>
            </w:r>
          </w:p>
          <w:p w:rsidR="004E0FE5" w:rsidRPr="00991E4C" w:rsidRDefault="004E0FE5" w:rsidP="00991E4C">
            <w:pPr>
              <w:pStyle w:val="Default"/>
              <w:ind w:left="113" w:right="113"/>
              <w:rPr>
                <w:rFonts w:ascii="Arial" w:hAnsi="Arial" w:cs="Arial"/>
                <w:sz w:val="16"/>
                <w:szCs w:val="16"/>
              </w:rPr>
            </w:pPr>
            <w:r w:rsidRPr="00991E4C">
              <w:rPr>
                <w:rFonts w:ascii="Arial" w:hAnsi="Arial" w:cs="Arial"/>
                <w:sz w:val="16"/>
                <w:szCs w:val="16"/>
              </w:rPr>
              <w:t>Baseline: 0</w:t>
            </w:r>
          </w:p>
          <w:p w:rsidR="00EB028C" w:rsidRPr="00991E4C" w:rsidRDefault="004E0FE5" w:rsidP="00991E4C">
            <w:pPr>
              <w:pStyle w:val="Default"/>
              <w:ind w:left="113" w:right="113"/>
              <w:rPr>
                <w:rFonts w:ascii="Arial" w:hAnsi="Arial" w:cs="Arial"/>
                <w:color w:val="FF0000"/>
                <w:sz w:val="16"/>
                <w:szCs w:val="16"/>
              </w:rPr>
            </w:pPr>
            <w:r w:rsidRPr="00991E4C">
              <w:rPr>
                <w:rFonts w:ascii="Arial" w:hAnsi="Arial" w:cs="Arial"/>
                <w:sz w:val="16"/>
                <w:szCs w:val="16"/>
              </w:rPr>
              <w:t>Target:</w:t>
            </w:r>
            <w:r w:rsidRPr="00974205">
              <w:rPr>
                <w:rFonts w:ascii="Arial" w:hAnsi="Arial" w:cs="Arial"/>
                <w:color w:val="auto"/>
                <w:sz w:val="16"/>
                <w:szCs w:val="16"/>
              </w:rPr>
              <w:t xml:space="preserve"> </w:t>
            </w:r>
            <w:r w:rsidR="00974205" w:rsidRPr="00974205">
              <w:rPr>
                <w:rFonts w:ascii="Arial" w:hAnsi="Arial" w:cs="Arial"/>
                <w:color w:val="auto"/>
                <w:sz w:val="16"/>
                <w:szCs w:val="16"/>
              </w:rPr>
              <w:t>7</w:t>
            </w:r>
          </w:p>
          <w:p w:rsidR="004E0FE5" w:rsidRPr="00991E4C" w:rsidRDefault="004E0FE5" w:rsidP="00991E4C">
            <w:pPr>
              <w:pStyle w:val="Default"/>
              <w:ind w:left="113" w:right="113"/>
              <w:rPr>
                <w:rFonts w:ascii="Arial" w:hAnsi="Arial" w:cs="Arial"/>
                <w:color w:val="auto"/>
                <w:sz w:val="16"/>
                <w:szCs w:val="16"/>
              </w:rPr>
            </w:pPr>
            <w:r w:rsidRPr="00991E4C">
              <w:rPr>
                <w:rFonts w:ascii="Arial" w:hAnsi="Arial" w:cs="Arial"/>
                <w:color w:val="auto"/>
                <w:sz w:val="16"/>
                <w:szCs w:val="16"/>
              </w:rPr>
              <w:t>Fonte dati: Sistema di monitoraggio PSR Umbria</w:t>
            </w:r>
          </w:p>
          <w:p w:rsidR="004E0FE5" w:rsidRPr="00991E4C" w:rsidRDefault="004E0FE5" w:rsidP="00991E4C">
            <w:pPr>
              <w:pStyle w:val="Default"/>
              <w:ind w:left="113" w:right="113"/>
              <w:rPr>
                <w:rFonts w:ascii="Arial" w:hAnsi="Arial" w:cs="Arial"/>
                <w:b/>
                <w:color w:val="auto"/>
                <w:sz w:val="16"/>
                <w:szCs w:val="16"/>
              </w:rPr>
            </w:pPr>
          </w:p>
          <w:p w:rsidR="004E0FE5" w:rsidRPr="00991E4C" w:rsidRDefault="004E0FE5" w:rsidP="00991E4C">
            <w:pPr>
              <w:pStyle w:val="Default"/>
              <w:ind w:left="113" w:right="113"/>
              <w:rPr>
                <w:rFonts w:ascii="Arial" w:hAnsi="Arial" w:cs="Arial"/>
                <w:b/>
                <w:color w:val="auto"/>
                <w:sz w:val="16"/>
                <w:szCs w:val="16"/>
              </w:rPr>
            </w:pPr>
            <w:r w:rsidRPr="00991E4C">
              <w:rPr>
                <w:rFonts w:ascii="Arial" w:hAnsi="Arial" w:cs="Arial"/>
                <w:b/>
                <w:color w:val="auto"/>
                <w:sz w:val="16"/>
                <w:szCs w:val="16"/>
              </w:rPr>
              <w:t>Indicatore di risultato:</w:t>
            </w:r>
          </w:p>
          <w:p w:rsidR="004E0FE5" w:rsidRPr="00991E4C" w:rsidRDefault="00331F00" w:rsidP="00991E4C">
            <w:pPr>
              <w:pStyle w:val="Default"/>
              <w:ind w:left="113" w:right="113"/>
              <w:rPr>
                <w:rFonts w:ascii="Arial" w:hAnsi="Arial" w:cs="Arial"/>
                <w:color w:val="auto"/>
                <w:sz w:val="16"/>
                <w:szCs w:val="16"/>
              </w:rPr>
            </w:pPr>
            <w:r w:rsidRPr="00991E4C">
              <w:rPr>
                <w:rFonts w:ascii="Arial" w:hAnsi="Arial" w:cs="Arial"/>
                <w:color w:val="auto"/>
                <w:sz w:val="16"/>
                <w:szCs w:val="16"/>
              </w:rPr>
              <w:t xml:space="preserve">(ID 105) Tasso di </w:t>
            </w:r>
            <w:proofErr w:type="spellStart"/>
            <w:r w:rsidRPr="00991E4C">
              <w:rPr>
                <w:rFonts w:ascii="Arial" w:hAnsi="Arial" w:cs="Arial"/>
                <w:color w:val="auto"/>
                <w:sz w:val="16"/>
                <w:szCs w:val="16"/>
              </w:rPr>
              <w:t>turisticità</w:t>
            </w:r>
            <w:proofErr w:type="spellEnd"/>
            <w:r w:rsidRPr="00991E4C">
              <w:rPr>
                <w:rFonts w:ascii="Arial" w:hAnsi="Arial" w:cs="Arial"/>
                <w:color w:val="auto"/>
                <w:sz w:val="16"/>
                <w:szCs w:val="16"/>
              </w:rPr>
              <w:t xml:space="preserve"> (Giornate di presenza (italiani e stranieri) </w:t>
            </w:r>
            <w:r w:rsidR="009A7D97">
              <w:rPr>
                <w:rFonts w:ascii="Arial" w:hAnsi="Arial" w:cs="Arial"/>
                <w:color w:val="auto"/>
                <w:sz w:val="16"/>
                <w:szCs w:val="16"/>
              </w:rPr>
              <w:t>sul numero dei residenti</w:t>
            </w:r>
            <w:r w:rsidRPr="00991E4C">
              <w:rPr>
                <w:rFonts w:ascii="Arial" w:hAnsi="Arial" w:cs="Arial"/>
                <w:color w:val="auto"/>
                <w:sz w:val="16"/>
                <w:szCs w:val="16"/>
              </w:rPr>
              <w:t>)</w:t>
            </w:r>
          </w:p>
          <w:p w:rsidR="00331F00" w:rsidRPr="00991E4C" w:rsidRDefault="00331F00" w:rsidP="00991E4C">
            <w:pPr>
              <w:pStyle w:val="Default"/>
              <w:ind w:left="113" w:right="113"/>
              <w:rPr>
                <w:rFonts w:ascii="Arial" w:hAnsi="Arial" w:cs="Arial"/>
                <w:color w:val="auto"/>
                <w:sz w:val="16"/>
                <w:szCs w:val="16"/>
              </w:rPr>
            </w:pPr>
            <w:r w:rsidRPr="00991E4C">
              <w:rPr>
                <w:rFonts w:ascii="Arial" w:hAnsi="Arial" w:cs="Arial"/>
                <w:color w:val="auto"/>
                <w:sz w:val="16"/>
                <w:szCs w:val="16"/>
              </w:rPr>
              <w:t>Baseline: 19,8% (anno 2016)</w:t>
            </w:r>
          </w:p>
          <w:p w:rsidR="00331F00" w:rsidRPr="00991E4C" w:rsidRDefault="00331F00" w:rsidP="00991E4C">
            <w:pPr>
              <w:pStyle w:val="Default"/>
              <w:ind w:left="113" w:right="113"/>
              <w:rPr>
                <w:rFonts w:ascii="Arial" w:hAnsi="Arial" w:cs="Arial"/>
                <w:color w:val="auto"/>
                <w:sz w:val="16"/>
                <w:szCs w:val="16"/>
              </w:rPr>
            </w:pPr>
            <w:r w:rsidRPr="00991E4C">
              <w:rPr>
                <w:rFonts w:ascii="Arial" w:hAnsi="Arial" w:cs="Arial"/>
                <w:color w:val="auto"/>
                <w:sz w:val="16"/>
                <w:szCs w:val="16"/>
              </w:rPr>
              <w:t>Target: 29,8%</w:t>
            </w:r>
          </w:p>
          <w:p w:rsidR="00331F00" w:rsidRPr="00991E4C" w:rsidRDefault="00331F00" w:rsidP="00991E4C">
            <w:pPr>
              <w:pStyle w:val="Default"/>
              <w:ind w:left="113" w:right="113"/>
              <w:rPr>
                <w:rFonts w:ascii="Arial" w:hAnsi="Arial" w:cs="Arial"/>
                <w:color w:val="auto"/>
                <w:sz w:val="16"/>
                <w:szCs w:val="16"/>
              </w:rPr>
            </w:pPr>
            <w:r w:rsidRPr="00991E4C">
              <w:rPr>
                <w:rFonts w:ascii="Arial" w:hAnsi="Arial" w:cs="Arial"/>
                <w:color w:val="auto"/>
                <w:sz w:val="16"/>
                <w:szCs w:val="16"/>
              </w:rPr>
              <w:t>Fonte dati: Istat</w:t>
            </w:r>
          </w:p>
          <w:p w:rsidR="004E0FE5" w:rsidRDefault="004E0FE5" w:rsidP="004E0FE5">
            <w:pPr>
              <w:pStyle w:val="Default"/>
              <w:rPr>
                <w:rFonts w:ascii="Arial" w:eastAsia="Arial" w:hAnsi="Arial"/>
                <w:b/>
                <w:sz w:val="22"/>
              </w:rPr>
            </w:pPr>
          </w:p>
        </w:tc>
      </w:tr>
      <w:tr w:rsidR="00EB028C" w:rsidTr="00724739">
        <w:tc>
          <w:tcPr>
            <w:tcW w:w="567" w:type="dxa"/>
          </w:tcPr>
          <w:p w:rsidR="00EB028C" w:rsidRPr="0027769D" w:rsidRDefault="00EB028C" w:rsidP="00724739">
            <w:pPr>
              <w:spacing w:line="232" w:lineRule="auto"/>
              <w:ind w:left="113" w:right="113"/>
              <w:rPr>
                <w:rFonts w:ascii="Arial" w:eastAsia="Arial" w:hAnsi="Arial"/>
                <w:b/>
                <w:sz w:val="16"/>
              </w:rPr>
            </w:pPr>
            <w:r w:rsidRPr="0027769D">
              <w:rPr>
                <w:rFonts w:ascii="Arial" w:eastAsia="Arial" w:hAnsi="Arial"/>
                <w:b/>
                <w:sz w:val="16"/>
              </w:rPr>
              <w:lastRenderedPageBreak/>
              <w:t>11</w:t>
            </w:r>
          </w:p>
        </w:tc>
        <w:tc>
          <w:tcPr>
            <w:tcW w:w="2835" w:type="dxa"/>
          </w:tcPr>
          <w:p w:rsidR="00EB028C" w:rsidRDefault="00EB028C" w:rsidP="00724739">
            <w:pPr>
              <w:spacing w:line="232" w:lineRule="auto"/>
              <w:ind w:left="113" w:right="113"/>
              <w:rPr>
                <w:rFonts w:ascii="Arial" w:eastAsia="Arial" w:hAnsi="Arial"/>
                <w:b/>
                <w:sz w:val="22"/>
              </w:rPr>
            </w:pPr>
            <w:r>
              <w:rPr>
                <w:rFonts w:ascii="Arial" w:eastAsia="Arial" w:hAnsi="Arial"/>
                <w:b/>
                <w:sz w:val="16"/>
              </w:rPr>
              <w:t>Soggetto gestore del bando</w:t>
            </w:r>
          </w:p>
        </w:tc>
        <w:tc>
          <w:tcPr>
            <w:tcW w:w="6237" w:type="dxa"/>
          </w:tcPr>
          <w:p w:rsidR="00EB028C" w:rsidRDefault="00331F00" w:rsidP="00073711">
            <w:pPr>
              <w:spacing w:line="232" w:lineRule="auto"/>
              <w:ind w:left="113" w:right="113"/>
              <w:rPr>
                <w:rFonts w:ascii="Arial" w:eastAsia="Arial" w:hAnsi="Arial"/>
                <w:b/>
                <w:sz w:val="22"/>
              </w:rPr>
            </w:pPr>
            <w:r w:rsidRPr="00331F00">
              <w:rPr>
                <w:rFonts w:ascii="Arial" w:hAnsi="Arial"/>
                <w:color w:val="000000"/>
                <w:sz w:val="16"/>
                <w:szCs w:val="16"/>
              </w:rPr>
              <w:t xml:space="preserve">Regione </w:t>
            </w:r>
            <w:proofErr w:type="gramStart"/>
            <w:r w:rsidRPr="00331F00">
              <w:rPr>
                <w:rFonts w:ascii="Arial" w:hAnsi="Arial"/>
                <w:color w:val="000000"/>
                <w:sz w:val="16"/>
                <w:szCs w:val="16"/>
              </w:rPr>
              <w:t>Umbri</w:t>
            </w:r>
            <w:r w:rsidR="00050ACA">
              <w:rPr>
                <w:rFonts w:ascii="Arial" w:hAnsi="Arial"/>
                <w:color w:val="000000"/>
                <w:sz w:val="16"/>
                <w:szCs w:val="16"/>
              </w:rPr>
              <w:t xml:space="preserve">a: </w:t>
            </w:r>
            <w:r w:rsidR="00B51109">
              <w:rPr>
                <w:rFonts w:ascii="Arial" w:hAnsi="Arial"/>
                <w:color w:val="000000"/>
                <w:sz w:val="16"/>
                <w:szCs w:val="16"/>
              </w:rPr>
              <w:t xml:space="preserve"> Dirigente</w:t>
            </w:r>
            <w:proofErr w:type="gramEnd"/>
            <w:r w:rsidR="00B51109">
              <w:rPr>
                <w:rFonts w:ascii="Arial" w:hAnsi="Arial"/>
                <w:color w:val="000000"/>
                <w:sz w:val="16"/>
                <w:szCs w:val="16"/>
              </w:rPr>
              <w:t xml:space="preserve"> </w:t>
            </w:r>
            <w:r w:rsidR="00CB7D6D">
              <w:rPr>
                <w:rFonts w:ascii="Arial" w:hAnsi="Arial"/>
                <w:color w:val="000000"/>
                <w:sz w:val="16"/>
                <w:szCs w:val="16"/>
              </w:rPr>
              <w:t xml:space="preserve">pro-tempore </w:t>
            </w:r>
            <w:bookmarkStart w:id="0" w:name="_GoBack"/>
            <w:bookmarkEnd w:id="0"/>
            <w:r w:rsidR="00B51109">
              <w:rPr>
                <w:rFonts w:ascii="Arial" w:hAnsi="Arial"/>
                <w:color w:val="000000"/>
                <w:sz w:val="16"/>
                <w:szCs w:val="16"/>
              </w:rPr>
              <w:t xml:space="preserve">del </w:t>
            </w:r>
            <w:r w:rsidR="00050ACA">
              <w:rPr>
                <w:rFonts w:ascii="Arial" w:hAnsi="Arial"/>
                <w:color w:val="000000"/>
                <w:sz w:val="16"/>
                <w:szCs w:val="16"/>
              </w:rPr>
              <w:t xml:space="preserve">Servizio Foreste, montagna, </w:t>
            </w:r>
            <w:r w:rsidRPr="00331F00">
              <w:rPr>
                <w:rFonts w:ascii="Arial" w:hAnsi="Arial"/>
                <w:color w:val="000000"/>
                <w:sz w:val="16"/>
                <w:szCs w:val="16"/>
              </w:rPr>
              <w:t>sistemi naturalistici</w:t>
            </w:r>
            <w:r w:rsidR="00073711">
              <w:rPr>
                <w:rFonts w:ascii="Arial" w:hAnsi="Arial"/>
                <w:color w:val="000000"/>
                <w:sz w:val="16"/>
                <w:szCs w:val="16"/>
              </w:rPr>
              <w:t xml:space="preserve"> e</w:t>
            </w:r>
            <w:r w:rsidR="00050ACA">
              <w:rPr>
                <w:rFonts w:ascii="Arial" w:hAnsi="Arial"/>
                <w:color w:val="000000"/>
                <w:sz w:val="16"/>
                <w:szCs w:val="16"/>
              </w:rPr>
              <w:t xml:space="preserve"> </w:t>
            </w:r>
            <w:r w:rsidR="00073711">
              <w:rPr>
                <w:rFonts w:ascii="Arial" w:hAnsi="Arial"/>
                <w:color w:val="000000"/>
                <w:sz w:val="16"/>
                <w:szCs w:val="16"/>
              </w:rPr>
              <w:t>F</w:t>
            </w:r>
            <w:r w:rsidR="00974205">
              <w:rPr>
                <w:rFonts w:ascii="Arial" w:hAnsi="Arial"/>
                <w:color w:val="000000"/>
                <w:sz w:val="16"/>
                <w:szCs w:val="16"/>
              </w:rPr>
              <w:t>aunistica</w:t>
            </w:r>
            <w:r w:rsidR="00050ACA">
              <w:rPr>
                <w:rFonts w:ascii="Arial" w:hAnsi="Arial"/>
                <w:color w:val="000000"/>
                <w:sz w:val="16"/>
                <w:szCs w:val="16"/>
              </w:rPr>
              <w:t>-</w:t>
            </w:r>
            <w:r w:rsidR="00073711">
              <w:rPr>
                <w:rFonts w:ascii="Arial" w:hAnsi="Arial"/>
                <w:color w:val="000000"/>
                <w:sz w:val="16"/>
                <w:szCs w:val="16"/>
              </w:rPr>
              <w:t>v</w:t>
            </w:r>
            <w:r w:rsidR="00050ACA">
              <w:rPr>
                <w:rFonts w:ascii="Arial" w:hAnsi="Arial"/>
                <w:color w:val="000000"/>
                <w:sz w:val="16"/>
                <w:szCs w:val="16"/>
              </w:rPr>
              <w:t>enatoria</w:t>
            </w:r>
            <w:r w:rsidR="00073711">
              <w:rPr>
                <w:rFonts w:ascii="Arial" w:hAnsi="Arial"/>
                <w:color w:val="000000"/>
                <w:sz w:val="16"/>
                <w:szCs w:val="16"/>
              </w:rPr>
              <w:t>.</w:t>
            </w:r>
          </w:p>
        </w:tc>
      </w:tr>
    </w:tbl>
    <w:p w:rsidR="00724739" w:rsidRDefault="00724739" w:rsidP="007F04ED"/>
    <w:sectPr w:rsidR="00724739" w:rsidSect="00002EDF">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A7C4294F"/>
    <w:multiLevelType w:val="hybridMultilevel"/>
    <w:tmpl w:val="EAC6FE56"/>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D250CC4A"/>
    <w:multiLevelType w:val="hybridMultilevel"/>
    <w:tmpl w:val="A9C27951"/>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107927EA"/>
    <w:multiLevelType w:val="hybridMultilevel"/>
    <w:tmpl w:val="A58C9236"/>
    <w:lvl w:ilvl="0" w:tplc="78607E02">
      <w:numFmt w:val="bullet"/>
      <w:lvlText w:val="-"/>
      <w:lvlJc w:val="left"/>
      <w:pPr>
        <w:ind w:left="720" w:hanging="360"/>
      </w:pPr>
      <w:rPr>
        <w:rFonts w:ascii="Arial" w:eastAsia="Calibri"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283"/>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7754F"/>
    <w:rsid w:val="00002EDF"/>
    <w:rsid w:val="00050ACA"/>
    <w:rsid w:val="00073711"/>
    <w:rsid w:val="001812DC"/>
    <w:rsid w:val="00331F00"/>
    <w:rsid w:val="004E0FE5"/>
    <w:rsid w:val="005563BE"/>
    <w:rsid w:val="0057754F"/>
    <w:rsid w:val="00601E6A"/>
    <w:rsid w:val="00705D5A"/>
    <w:rsid w:val="00711A39"/>
    <w:rsid w:val="00724739"/>
    <w:rsid w:val="007345FD"/>
    <w:rsid w:val="00770055"/>
    <w:rsid w:val="00786E96"/>
    <w:rsid w:val="007F04ED"/>
    <w:rsid w:val="00923817"/>
    <w:rsid w:val="00934C54"/>
    <w:rsid w:val="00974205"/>
    <w:rsid w:val="00991E4C"/>
    <w:rsid w:val="009A7D97"/>
    <w:rsid w:val="00A15422"/>
    <w:rsid w:val="00A212E8"/>
    <w:rsid w:val="00A339F9"/>
    <w:rsid w:val="00A37637"/>
    <w:rsid w:val="00B51109"/>
    <w:rsid w:val="00B64753"/>
    <w:rsid w:val="00BA0A76"/>
    <w:rsid w:val="00CB7D6D"/>
    <w:rsid w:val="00D05A54"/>
    <w:rsid w:val="00D24191"/>
    <w:rsid w:val="00D8190A"/>
    <w:rsid w:val="00E22D2C"/>
    <w:rsid w:val="00EB028C"/>
    <w:rsid w:val="00F4283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C77544A-2231-4FDC-A77F-5F2C570788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EB028C"/>
    <w:pPr>
      <w:spacing w:after="0" w:line="240" w:lineRule="auto"/>
    </w:pPr>
    <w:rPr>
      <w:rFonts w:ascii="Calibri" w:eastAsia="Calibri" w:hAnsi="Calibri" w:cs="Arial"/>
      <w:sz w:val="20"/>
      <w:szCs w:val="20"/>
      <w:lang w:eastAsia="it-IT"/>
    </w:rPr>
  </w:style>
  <w:style w:type="paragraph" w:styleId="Titolo1">
    <w:name w:val="heading 1"/>
    <w:basedOn w:val="Normale"/>
    <w:next w:val="Normale"/>
    <w:link w:val="Titolo1Carattere"/>
    <w:autoRedefine/>
    <w:uiPriority w:val="9"/>
    <w:qFormat/>
    <w:rsid w:val="00EB028C"/>
    <w:pPr>
      <w:keepNext/>
      <w:spacing w:before="240" w:after="60"/>
      <w:outlineLvl w:val="0"/>
    </w:pPr>
    <w:rPr>
      <w:rFonts w:ascii="Arial" w:eastAsia="Times New Roman" w:hAnsi="Arial" w:cs="Times New Roman"/>
      <w:b/>
      <w:bCs/>
      <w:kern w:val="32"/>
      <w:sz w:val="22"/>
      <w:szCs w:val="3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EB028C"/>
    <w:rPr>
      <w:rFonts w:ascii="Arial" w:eastAsia="Times New Roman" w:hAnsi="Arial" w:cs="Times New Roman"/>
      <w:b/>
      <w:bCs/>
      <w:kern w:val="32"/>
      <w:szCs w:val="32"/>
      <w:lang w:eastAsia="it-IT"/>
    </w:rPr>
  </w:style>
  <w:style w:type="table" w:styleId="Grigliatabella">
    <w:name w:val="Table Grid"/>
    <w:basedOn w:val="Tabellanormale"/>
    <w:uiPriority w:val="59"/>
    <w:rsid w:val="00EB028C"/>
    <w:pPr>
      <w:spacing w:after="0" w:line="240" w:lineRule="auto"/>
    </w:pPr>
    <w:rPr>
      <w:rFonts w:ascii="Calibri" w:eastAsia="Calibri" w:hAnsi="Calibri" w:cs="Arial"/>
      <w:sz w:val="20"/>
      <w:szCs w:val="20"/>
      <w:lang w:eastAsia="it-I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0" w:type="dxa"/>
        <w:bottom w:w="0" w:type="dxa"/>
        <w:right w:w="0" w:type="dxa"/>
      </w:tblCellMar>
    </w:tblPr>
  </w:style>
  <w:style w:type="paragraph" w:customStyle="1" w:styleId="Default">
    <w:name w:val="Default"/>
    <w:rsid w:val="007345FD"/>
    <w:pPr>
      <w:autoSpaceDE w:val="0"/>
      <w:autoSpaceDN w:val="0"/>
      <w:adjustRightInd w:val="0"/>
      <w:spacing w:after="0" w:line="240" w:lineRule="auto"/>
    </w:pPr>
    <w:rPr>
      <w:rFonts w:ascii="Calibri" w:hAnsi="Calibri" w:cs="Calibri"/>
      <w:color w:val="000000"/>
      <w:sz w:val="24"/>
      <w:szCs w:val="24"/>
    </w:rPr>
  </w:style>
  <w:style w:type="paragraph" w:styleId="Paragrafoelenco">
    <w:name w:val="List Paragraph"/>
    <w:basedOn w:val="Normale"/>
    <w:uiPriority w:val="34"/>
    <w:qFormat/>
    <w:rsid w:val="00786E9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387</TotalTime>
  <Pages>2</Pages>
  <Words>652</Words>
  <Characters>3723</Characters>
  <Application>Microsoft Office Word</Application>
  <DocSecurity>0</DocSecurity>
  <Lines>31</Lines>
  <Paragraphs>8</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4367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Cecilia Moretti</dc:creator>
  <cp:keywords/>
  <dc:description/>
  <cp:lastModifiedBy>Cecilia Moretti</cp:lastModifiedBy>
  <cp:revision>20</cp:revision>
  <dcterms:created xsi:type="dcterms:W3CDTF">2019-08-02T08:33:00Z</dcterms:created>
  <dcterms:modified xsi:type="dcterms:W3CDTF">2020-11-05T07:45:00Z</dcterms:modified>
</cp:coreProperties>
</file>